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A468" w14:textId="454AF2F9" w:rsidR="0060318A" w:rsidRDefault="009A0AC8" w:rsidP="009F22CE">
      <w:pPr>
        <w:autoSpaceDE w:val="0"/>
        <w:autoSpaceDN w:val="0"/>
        <w:adjustRightInd w:val="0"/>
        <w:spacing w:after="0" w:line="240" w:lineRule="auto"/>
        <w:jc w:val="both"/>
        <w:rPr>
          <w:rFonts w:ascii="Segoe UI" w:hAnsi="Segoe UI" w:cs="Segoe UI"/>
          <w:color w:val="000000"/>
          <w:sz w:val="21"/>
          <w:szCs w:val="21"/>
        </w:rPr>
      </w:pPr>
      <w:r>
        <w:t xml:space="preserve"> </w:t>
      </w:r>
      <w:bookmarkStart w:id="0" w:name="_GoBack"/>
      <w:bookmarkEnd w:id="0"/>
    </w:p>
    <w:p w14:paraId="4EC0A02D" w14:textId="77777777" w:rsidR="0060318A" w:rsidRDefault="0060318A" w:rsidP="0060318A">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Los niveles de equilibrio se caracterizan por tener circunstancias heterogéneas, que a pesar de que no estén en conflicto deben ser armonizados. Equilibrar los derechos significa comparar normas constitucionales que contemplan derechos en conflicto, para aceptar, dentro de un sistema normativo, qué derechos deben prevalecer.  El ejercicio de un derecho está limitado por el ejercicio de otro derecho, en el ámbito del ordenamiento las diferentes esferas jurídicas deben por necesidad limitarse recíprocamente, para que puedan coexistir en ordenada convivencia social (Bindi, 2016) </w:t>
      </w:r>
    </w:p>
    <w:p w14:paraId="20103EE8" w14:textId="46B87D4F" w:rsidR="007D21D0" w:rsidRDefault="007D21D0" w:rsidP="009F22CE">
      <w:pPr>
        <w:autoSpaceDE w:val="0"/>
        <w:autoSpaceDN w:val="0"/>
        <w:adjustRightInd w:val="0"/>
        <w:spacing w:after="0" w:line="240" w:lineRule="auto"/>
        <w:jc w:val="both"/>
        <w:rPr>
          <w:rFonts w:ascii="Segoe UI" w:hAnsi="Segoe UI" w:cs="Segoe UI"/>
          <w:color w:val="000000"/>
          <w:sz w:val="21"/>
          <w:szCs w:val="21"/>
        </w:rPr>
      </w:pPr>
    </w:p>
    <w:p w14:paraId="2EAC26BA" w14:textId="67087CCB" w:rsidR="0060318A" w:rsidRDefault="0060318A" w:rsidP="0060318A">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El test de proporcionalidad es un procedimiento argumentativo (conocido en sus tres o cuatro pasos: legalidad, idoneidad, necesidad, proporcionalidad en sentido estricto o el equilibrio), que se descompone y regula las diversas evaluaciones que se pueden tomar en el examen de la admisibilidad de una injerencia en un derecho fundamental, por una medida pública que tiene la intención de perseguir un interés público o para proteger otro derecho fundamental. El principio de proporcionalidad es más bien, de hecho, un principio, que es —como todos los principios— una disposición que se caracteriza por un alto grado de generalidad, de indeterminación [...]. El principio de proporcionalidad, por lo tanto, justifica el uso del test de proporcionalidad, pero no se identifica con él. Es decir: el test de proporcionalidad es una manera, aunque no la única, de poner en práctica el principio de proporcionalidad» (Bindi, 2016) </w:t>
      </w:r>
    </w:p>
    <w:p w14:paraId="7BC6946E" w14:textId="77777777" w:rsidR="007D21D0" w:rsidRDefault="007D21D0" w:rsidP="0060318A">
      <w:pPr>
        <w:autoSpaceDE w:val="0"/>
        <w:autoSpaceDN w:val="0"/>
        <w:adjustRightInd w:val="0"/>
        <w:spacing w:after="0" w:line="240" w:lineRule="auto"/>
        <w:jc w:val="both"/>
        <w:rPr>
          <w:rFonts w:ascii="Segoe UI" w:hAnsi="Segoe UI" w:cs="Segoe UI"/>
          <w:color w:val="000000"/>
          <w:sz w:val="21"/>
          <w:szCs w:val="21"/>
        </w:rPr>
      </w:pPr>
    </w:p>
    <w:p w14:paraId="75EAD59E" w14:textId="776C00E4" w:rsidR="00DE20D1" w:rsidRDefault="004F1D50" w:rsidP="004F1D50">
      <w:pPr>
        <w:jc w:val="both"/>
      </w:pPr>
      <w:r>
        <w:t>El derecho fundamental de circulación puede ser limitado, en virtud de la ley, pero sólo en la medida necesaria e indispensable en una sociedad democrática, con miras a prevenir la comisión de infracciones penales, proteger el interés público, la seguridad</w:t>
      </w:r>
      <w:r w:rsidR="008113B9">
        <w:t xml:space="preserve"> </w:t>
      </w:r>
      <w:r>
        <w:t xml:space="preserve">nacional, el orden público, la salud y la moral públicas, o los derechos y libertades de las demás personas, y en cuanto a la restricción sea igualmente compatible con el ejercicio de los demás </w:t>
      </w:r>
      <w:r w:rsidR="008113B9">
        <w:t xml:space="preserve"> </w:t>
      </w:r>
      <w:r>
        <w:t>derechos fundamentales reconocidos por la Constitución. Pero, como lo ha sostenido la Corte, toda restricción de dicho derecho debe estar acorde con los criterios de necesidad, racionalidad,</w:t>
      </w:r>
      <w:r w:rsidR="008113B9">
        <w:t xml:space="preserve"> </w:t>
      </w:r>
      <w:r>
        <w:t xml:space="preserve">proporcionalidad y finalidad; no son admisibles, por lo tanto, las limitaciones que imponga el legislador arbitrariamente, esto es, sin que tengan la debida justificación, a la luz de los principios, valores, derechos y deberes constitucionales (Corte Constitucional, 1999, p.35). El derecho a la </w:t>
      </w:r>
      <w:r w:rsidR="00FC7C1B">
        <w:t>locomoción</w:t>
      </w:r>
      <w:r>
        <w:t xml:space="preserve"> se puede limitar en el escenario de una pandemia porque pueden contaminarse y contaminar al resto de la </w:t>
      </w:r>
      <w:r w:rsidR="00FC7C1B">
        <w:t xml:space="preserve">población. </w:t>
      </w:r>
    </w:p>
    <w:p w14:paraId="65D332F9" w14:textId="347682B3" w:rsidR="005F2893" w:rsidRDefault="005F2893" w:rsidP="008E34EB">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La biopolítica necesariamente significa el ejercicio del poder por medio de políticas públicas que hacen que el Estado vigile, modifique y la actividad de la sociedad con el fin de</w:t>
      </w:r>
      <w:r w:rsidR="005B48B9">
        <w:rPr>
          <w:rFonts w:ascii="Segoe UI" w:hAnsi="Segoe UI" w:cs="Segoe UI"/>
          <w:color w:val="000000"/>
          <w:sz w:val="21"/>
          <w:szCs w:val="21"/>
        </w:rPr>
        <w:t xml:space="preserve"> </w:t>
      </w:r>
      <w:r>
        <w:rPr>
          <w:rFonts w:ascii="Segoe UI" w:hAnsi="Segoe UI" w:cs="Segoe UI"/>
          <w:color w:val="000000"/>
          <w:sz w:val="21"/>
          <w:szCs w:val="21"/>
        </w:rPr>
        <w:t>fortalecer el bios para que pueda reaccionar frente a las problemáticas. El concepto de</w:t>
      </w:r>
      <w:r w:rsidR="005B48B9">
        <w:rPr>
          <w:rFonts w:ascii="Segoe UI" w:hAnsi="Segoe UI" w:cs="Segoe UI"/>
          <w:color w:val="000000"/>
          <w:sz w:val="21"/>
          <w:szCs w:val="21"/>
        </w:rPr>
        <w:t xml:space="preserve"> </w:t>
      </w:r>
      <w:r>
        <w:rPr>
          <w:rFonts w:ascii="Segoe UI" w:hAnsi="Segoe UI" w:cs="Segoe UI"/>
          <w:color w:val="000000"/>
          <w:sz w:val="21"/>
          <w:szCs w:val="21"/>
        </w:rPr>
        <w:t>biopolítica que se conoce en la actualidad fue desarrollado por Foucault (1990), quien proporcionó los</w:t>
      </w:r>
      <w:r w:rsidR="005B48B9">
        <w:rPr>
          <w:rFonts w:ascii="Segoe UI" w:hAnsi="Segoe UI" w:cs="Segoe UI"/>
          <w:color w:val="000000"/>
          <w:sz w:val="21"/>
          <w:szCs w:val="21"/>
        </w:rPr>
        <w:t xml:space="preserve"> </w:t>
      </w:r>
      <w:r>
        <w:rPr>
          <w:rFonts w:ascii="Segoe UI" w:hAnsi="Segoe UI" w:cs="Segoe UI"/>
          <w:color w:val="000000"/>
          <w:sz w:val="21"/>
          <w:szCs w:val="21"/>
        </w:rPr>
        <w:t>postulados para conectar el bios y el zoe para afirmar que el Estado ejerce un</w:t>
      </w:r>
      <w:r w:rsidR="005B48B9">
        <w:rPr>
          <w:rFonts w:ascii="Segoe UI" w:hAnsi="Segoe UI" w:cs="Segoe UI"/>
          <w:color w:val="000000"/>
          <w:sz w:val="21"/>
          <w:szCs w:val="21"/>
        </w:rPr>
        <w:t xml:space="preserve"> </w:t>
      </w:r>
      <w:r>
        <w:rPr>
          <w:rFonts w:ascii="Segoe UI" w:hAnsi="Segoe UI" w:cs="Segoe UI"/>
          <w:color w:val="000000"/>
          <w:sz w:val="21"/>
          <w:szCs w:val="21"/>
        </w:rPr>
        <w:t>biopoder como estilo de gobierno que genera impacto en las vidas de las</w:t>
      </w:r>
      <w:r w:rsidR="005B48B9">
        <w:rPr>
          <w:rFonts w:ascii="Segoe UI" w:hAnsi="Segoe UI" w:cs="Segoe UI"/>
          <w:color w:val="000000"/>
          <w:sz w:val="21"/>
          <w:szCs w:val="21"/>
        </w:rPr>
        <w:t xml:space="preserve"> </w:t>
      </w:r>
      <w:r>
        <w:rPr>
          <w:rFonts w:ascii="Segoe UI" w:hAnsi="Segoe UI" w:cs="Segoe UI"/>
          <w:color w:val="000000"/>
          <w:sz w:val="21"/>
          <w:szCs w:val="21"/>
        </w:rPr>
        <w:t>personas. El concepto biopolítico actual radica en que la vida y la política</w:t>
      </w:r>
      <w:r w:rsidR="005B48B9">
        <w:rPr>
          <w:rFonts w:ascii="Segoe UI" w:hAnsi="Segoe UI" w:cs="Segoe UI"/>
          <w:color w:val="000000"/>
          <w:sz w:val="21"/>
          <w:szCs w:val="21"/>
        </w:rPr>
        <w:t xml:space="preserve"> </w:t>
      </w:r>
      <w:r>
        <w:rPr>
          <w:rFonts w:ascii="Segoe UI" w:hAnsi="Segoe UI" w:cs="Segoe UI"/>
          <w:color w:val="000000"/>
          <w:sz w:val="21"/>
          <w:szCs w:val="21"/>
        </w:rPr>
        <w:t>deben ir juntas como medios de poder y autovigilancia. Sin embargo,</w:t>
      </w:r>
      <w:r w:rsidR="005B48B9">
        <w:rPr>
          <w:rFonts w:ascii="Segoe UI" w:hAnsi="Segoe UI" w:cs="Segoe UI"/>
          <w:color w:val="000000"/>
          <w:sz w:val="21"/>
          <w:szCs w:val="21"/>
        </w:rPr>
        <w:t xml:space="preserve"> </w:t>
      </w:r>
      <w:r>
        <w:rPr>
          <w:rFonts w:ascii="Segoe UI" w:hAnsi="Segoe UI" w:cs="Segoe UI"/>
          <w:color w:val="000000"/>
          <w:sz w:val="21"/>
          <w:szCs w:val="21"/>
        </w:rPr>
        <w:t>posiciones críticas del biopoder han sido reseñadas ante la crisis del COVID19, Latour (2020) afirma que a pesar de que esta es una buena</w:t>
      </w:r>
      <w:r w:rsidR="005B48B9">
        <w:rPr>
          <w:rFonts w:ascii="Segoe UI" w:hAnsi="Segoe UI" w:cs="Segoe UI"/>
          <w:color w:val="000000"/>
          <w:sz w:val="21"/>
          <w:szCs w:val="21"/>
        </w:rPr>
        <w:t xml:space="preserve"> </w:t>
      </w:r>
      <w:r>
        <w:rPr>
          <w:rFonts w:ascii="Segoe UI" w:hAnsi="Segoe UI" w:cs="Segoe UI"/>
          <w:color w:val="000000"/>
          <w:sz w:val="21"/>
          <w:szCs w:val="21"/>
        </w:rPr>
        <w:t>oportunidad</w:t>
      </w:r>
      <w:r w:rsidR="005B48B9">
        <w:rPr>
          <w:rFonts w:ascii="Segoe UI" w:hAnsi="Segoe UI" w:cs="Segoe UI"/>
          <w:color w:val="000000"/>
          <w:sz w:val="21"/>
          <w:szCs w:val="21"/>
        </w:rPr>
        <w:t xml:space="preserve"> </w:t>
      </w:r>
      <w:r>
        <w:rPr>
          <w:rFonts w:ascii="Segoe UI" w:hAnsi="Segoe UI" w:cs="Segoe UI"/>
          <w:color w:val="000000"/>
          <w:sz w:val="21"/>
          <w:szCs w:val="21"/>
        </w:rPr>
        <w:t>para reflexionar sobre lo importante e irrisorio, se ha retrocedido al Estado del</w:t>
      </w:r>
    </w:p>
    <w:p w14:paraId="5691576C" w14:textId="279D8AC8" w:rsidR="005F2893" w:rsidRDefault="005F2893" w:rsidP="008E34EB">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siglo XIX por el excesivo control hacia las personas para que queden atrapados</w:t>
      </w:r>
      <w:r w:rsidR="005B48B9">
        <w:rPr>
          <w:rFonts w:ascii="Segoe UI" w:hAnsi="Segoe UI" w:cs="Segoe UI"/>
          <w:color w:val="000000"/>
          <w:sz w:val="21"/>
          <w:szCs w:val="21"/>
        </w:rPr>
        <w:t xml:space="preserve"> </w:t>
      </w:r>
      <w:r>
        <w:rPr>
          <w:rFonts w:ascii="Segoe UI" w:hAnsi="Segoe UI" w:cs="Segoe UI"/>
          <w:color w:val="000000"/>
          <w:sz w:val="21"/>
          <w:szCs w:val="21"/>
        </w:rPr>
        <w:t>en sus casas y la destrucción de los trabajadores ocultos para que muchos</w:t>
      </w:r>
      <w:r w:rsidR="005B48B9">
        <w:rPr>
          <w:rFonts w:ascii="Segoe UI" w:hAnsi="Segoe UI" w:cs="Segoe UI"/>
          <w:color w:val="000000"/>
          <w:sz w:val="21"/>
          <w:szCs w:val="21"/>
        </w:rPr>
        <w:t xml:space="preserve"> </w:t>
      </w:r>
      <w:r>
        <w:rPr>
          <w:rFonts w:ascii="Segoe UI" w:hAnsi="Segoe UI" w:cs="Segoe UI"/>
          <w:color w:val="000000"/>
          <w:sz w:val="21"/>
          <w:szCs w:val="21"/>
        </w:rPr>
        <w:t xml:space="preserve">puedan seguir encerrados. </w:t>
      </w:r>
    </w:p>
    <w:p w14:paraId="61E1EEF3" w14:textId="3398C761" w:rsidR="002164C5" w:rsidRDefault="002164C5" w:rsidP="008E34EB">
      <w:pPr>
        <w:autoSpaceDE w:val="0"/>
        <w:autoSpaceDN w:val="0"/>
        <w:adjustRightInd w:val="0"/>
        <w:spacing w:after="0" w:line="240" w:lineRule="auto"/>
        <w:jc w:val="both"/>
        <w:rPr>
          <w:rFonts w:ascii="Segoe UI" w:hAnsi="Segoe UI" w:cs="Segoe UI"/>
          <w:color w:val="000000"/>
          <w:sz w:val="21"/>
          <w:szCs w:val="21"/>
        </w:rPr>
      </w:pPr>
    </w:p>
    <w:p w14:paraId="696F76F5" w14:textId="5E9BCE0C" w:rsidR="00FC7C1B" w:rsidRDefault="002164C5" w:rsidP="002164C5">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Las disposiciones jurídicas han tenido poder declarativo, disuasivo, imperativo y prohibitivo. La trascendencia de considerar la importancia del bioderecho y la biopolítica para enfrentar la pandemia del COVID – 19. Determinar su trascendencia hace que los modelos </w:t>
      </w:r>
      <w:r>
        <w:rPr>
          <w:rFonts w:ascii="Segoe UI" w:hAnsi="Segoe UI" w:cs="Segoe UI"/>
          <w:color w:val="000000"/>
          <w:sz w:val="21"/>
          <w:szCs w:val="21"/>
        </w:rPr>
        <w:lastRenderedPageBreak/>
        <w:t>individualistas se vean coartados en beneficio del otro. La importancia del bioderecho para contener el COVID-19 radica en la concientización de los seres humanos porque cualquier acto del yo podría tener incidencia en el otro. Es decir, las consecuencias que se están evidenciando de esta pandemia hace que el otro tenga una relevancia que afecta al yo (Florian et al, 20</w:t>
      </w:r>
      <w:r w:rsidR="007346DF">
        <w:rPr>
          <w:rFonts w:ascii="Segoe UI" w:hAnsi="Segoe UI" w:cs="Segoe UI"/>
          <w:color w:val="000000"/>
          <w:sz w:val="21"/>
          <w:szCs w:val="21"/>
        </w:rPr>
        <w:t>20</w:t>
      </w:r>
      <w:r>
        <w:rPr>
          <w:rFonts w:ascii="Segoe UI" w:hAnsi="Segoe UI" w:cs="Segoe UI"/>
          <w:color w:val="000000"/>
          <w:sz w:val="21"/>
          <w:szCs w:val="21"/>
        </w:rPr>
        <w:t>)</w:t>
      </w:r>
    </w:p>
    <w:p w14:paraId="4C1D6964" w14:textId="437E0F03" w:rsidR="002164C5" w:rsidRDefault="002164C5" w:rsidP="002164C5">
      <w:pPr>
        <w:autoSpaceDE w:val="0"/>
        <w:autoSpaceDN w:val="0"/>
        <w:adjustRightInd w:val="0"/>
        <w:spacing w:after="0" w:line="240" w:lineRule="auto"/>
        <w:jc w:val="both"/>
        <w:rPr>
          <w:rFonts w:ascii="Segoe UI" w:hAnsi="Segoe UI" w:cs="Segoe UI"/>
          <w:color w:val="000000"/>
          <w:sz w:val="21"/>
          <w:szCs w:val="21"/>
        </w:rPr>
      </w:pPr>
    </w:p>
    <w:p w14:paraId="4AACB54B" w14:textId="16216954" w:rsidR="00CF7FD1" w:rsidRDefault="00CF7FD1" w:rsidP="00CF7FD1">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Las declaraciones de emergencias sanitaria o de seguridad deben estar en consonancia con el derecho internacional y los derechos humanos y en ningún caso deben usarse como base para socavar los derechos de grupos particulares de población (OACDH,2020).</w:t>
      </w:r>
    </w:p>
    <w:p w14:paraId="1AD265DA" w14:textId="149A27BA" w:rsidR="00111165" w:rsidRDefault="00111165" w:rsidP="00CF7FD1">
      <w:pPr>
        <w:autoSpaceDE w:val="0"/>
        <w:autoSpaceDN w:val="0"/>
        <w:adjustRightInd w:val="0"/>
        <w:spacing w:after="0" w:line="240" w:lineRule="auto"/>
        <w:jc w:val="both"/>
        <w:rPr>
          <w:rFonts w:ascii="Segoe UI" w:hAnsi="Segoe UI" w:cs="Segoe UI"/>
          <w:color w:val="000000"/>
          <w:sz w:val="21"/>
          <w:szCs w:val="21"/>
        </w:rPr>
      </w:pPr>
    </w:p>
    <w:p w14:paraId="5CD1E072" w14:textId="7336099E" w:rsidR="00111165" w:rsidRDefault="00111165" w:rsidP="00111165">
      <w:pPr>
        <w:autoSpaceDE w:val="0"/>
        <w:autoSpaceDN w:val="0"/>
        <w:adjustRightInd w:val="0"/>
        <w:spacing w:after="0" w:line="240" w:lineRule="auto"/>
        <w:jc w:val="both"/>
        <w:rPr>
          <w:rFonts w:ascii="Segoe UI" w:hAnsi="Segoe UI" w:cs="Segoe UI"/>
          <w:sz w:val="21"/>
          <w:szCs w:val="21"/>
        </w:rPr>
      </w:pPr>
      <w:r>
        <w:rPr>
          <w:rFonts w:ascii="Segoe UI" w:hAnsi="Segoe UI" w:cs="Segoe UI"/>
          <w:color w:val="000000"/>
          <w:sz w:val="21"/>
          <w:szCs w:val="21"/>
        </w:rPr>
        <w:t xml:space="preserve">El distanciamiento social se encuentra justificado como estrategia necesaria para evitar contagiarse del virus e infectar a otras personas. La pandemia, y las medidas implementadas visibilizan la diversidad de situaciones en que se encuentran los adultos mayores de Colombia, algunos en situación de calle, otros que cuentan con todos los recursos de cuidado y atención, cumplen rigurosamente el aislamiento; otros se contagian en los hogares para ancianos, y algunos hasta se rebelan ante el aislamiento. </w:t>
      </w:r>
    </w:p>
    <w:p w14:paraId="78F2C1A4" w14:textId="2C53E73A" w:rsidR="00111165" w:rsidRDefault="00111165" w:rsidP="00CF7FD1">
      <w:pPr>
        <w:autoSpaceDE w:val="0"/>
        <w:autoSpaceDN w:val="0"/>
        <w:adjustRightInd w:val="0"/>
        <w:spacing w:after="0" w:line="240" w:lineRule="auto"/>
        <w:jc w:val="both"/>
        <w:rPr>
          <w:rFonts w:ascii="Segoe UI" w:hAnsi="Segoe UI" w:cs="Segoe UI"/>
          <w:color w:val="000000"/>
          <w:sz w:val="21"/>
          <w:szCs w:val="21"/>
        </w:rPr>
      </w:pPr>
    </w:p>
    <w:p w14:paraId="177665D6" w14:textId="352F597F" w:rsidR="005A6724" w:rsidRDefault="005A6724" w:rsidP="005A6724">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La tasa de reproducción (RO) del Covid-19 es de las más altas en comparación con otras enfermedades de su tipo: se estima que infecta en 2.68 personas por cada individuo contagiado, mientras que la tasa de la gripe común es de 1.28; solo es superada por la tasa</w:t>
      </w:r>
    </w:p>
    <w:p w14:paraId="342D7FCF" w14:textId="5062173B" w:rsidR="005A6724" w:rsidRDefault="005A6724" w:rsidP="005A6724">
      <w:pPr>
        <w:autoSpaceDE w:val="0"/>
        <w:autoSpaceDN w:val="0"/>
        <w:adjustRightInd w:val="0"/>
        <w:spacing w:after="0" w:line="240" w:lineRule="auto"/>
        <w:jc w:val="both"/>
        <w:rPr>
          <w:rFonts w:ascii="Segoe UI" w:hAnsi="Segoe UI" w:cs="Segoe UI"/>
          <w:sz w:val="21"/>
          <w:szCs w:val="21"/>
        </w:rPr>
      </w:pPr>
      <w:r>
        <w:rPr>
          <w:rFonts w:ascii="Segoe UI" w:hAnsi="Segoe UI" w:cs="Segoe UI"/>
          <w:color w:val="000000"/>
          <w:sz w:val="21"/>
          <w:szCs w:val="21"/>
        </w:rPr>
        <w:t xml:space="preserve">del SARS que alcanza una cifra de 3.0 personas por individuo contagiado (Martínez et al., 2020) </w:t>
      </w:r>
    </w:p>
    <w:p w14:paraId="5612B60A" w14:textId="77777777" w:rsidR="00CF7FD1" w:rsidRPr="00CF7FD1" w:rsidRDefault="00CF7FD1" w:rsidP="002164C5">
      <w:pPr>
        <w:autoSpaceDE w:val="0"/>
        <w:autoSpaceDN w:val="0"/>
        <w:adjustRightInd w:val="0"/>
        <w:spacing w:after="0" w:line="240" w:lineRule="auto"/>
        <w:jc w:val="both"/>
      </w:pPr>
    </w:p>
    <w:p w14:paraId="557D6EDD" w14:textId="45E4CC97" w:rsidR="007346DF" w:rsidRDefault="00DB3BD1" w:rsidP="007346DF">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El ejercicio del poder por medio de políticas públicas que hacen que el Estado vigile, modifique y la actividad de la sociedad con el fin de fortalecer el bios para que pueda reaccionar frente a las problemáticas. El concepto de biopolítica que se conoce en la actualidad fue desarrollado por Foucault (1990), quien proporcionó los postulados para conectar el bios y el zoe para afirmar que el Estado ejerce un biopoder como estilo de gobierno que genera impacto en las vidas de las personas. El concepto biopolítico actual radica en que la vida y la política deben ir juntas como medios de poder y autovigilancia. Sin embargo,</w:t>
      </w:r>
      <w:r w:rsidR="00A97C47">
        <w:rPr>
          <w:rFonts w:ascii="Segoe UI" w:hAnsi="Segoe UI" w:cs="Segoe UI"/>
          <w:color w:val="000000"/>
          <w:sz w:val="21"/>
          <w:szCs w:val="21"/>
        </w:rPr>
        <w:t xml:space="preserve"> </w:t>
      </w:r>
      <w:r>
        <w:rPr>
          <w:rFonts w:ascii="Segoe UI" w:hAnsi="Segoe UI" w:cs="Segoe UI"/>
          <w:color w:val="000000"/>
          <w:sz w:val="21"/>
          <w:szCs w:val="21"/>
        </w:rPr>
        <w:t>posiciones críticas del biopoder han sido reseñadas ante la crisis del COVID19, Latour (2020) afirma que a pesar de que esta es una buena oportunidad</w:t>
      </w:r>
      <w:r w:rsidR="00A97C47">
        <w:rPr>
          <w:rFonts w:ascii="Segoe UI" w:hAnsi="Segoe UI" w:cs="Segoe UI"/>
          <w:color w:val="000000"/>
          <w:sz w:val="21"/>
          <w:szCs w:val="21"/>
        </w:rPr>
        <w:t xml:space="preserve"> </w:t>
      </w:r>
      <w:r>
        <w:rPr>
          <w:rFonts w:ascii="Segoe UI" w:hAnsi="Segoe UI" w:cs="Segoe UI"/>
          <w:color w:val="000000"/>
          <w:sz w:val="21"/>
          <w:szCs w:val="21"/>
        </w:rPr>
        <w:t>para reflexionar sobre lo importante e irrisorio, se ha retrocedido al Estado del</w:t>
      </w:r>
      <w:r w:rsidR="00A97C47">
        <w:rPr>
          <w:rFonts w:ascii="Segoe UI" w:hAnsi="Segoe UI" w:cs="Segoe UI"/>
          <w:color w:val="000000"/>
          <w:sz w:val="21"/>
          <w:szCs w:val="21"/>
        </w:rPr>
        <w:t xml:space="preserve"> </w:t>
      </w:r>
      <w:r>
        <w:rPr>
          <w:rFonts w:ascii="Segoe UI" w:hAnsi="Segoe UI" w:cs="Segoe UI"/>
          <w:color w:val="000000"/>
          <w:sz w:val="21"/>
          <w:szCs w:val="21"/>
        </w:rPr>
        <w:t>siglo XIX por el excesivo control hacia las personas para que queden atrapados</w:t>
      </w:r>
      <w:r w:rsidR="00A97C47">
        <w:rPr>
          <w:rFonts w:ascii="Segoe UI" w:hAnsi="Segoe UI" w:cs="Segoe UI"/>
          <w:color w:val="000000"/>
          <w:sz w:val="21"/>
          <w:szCs w:val="21"/>
        </w:rPr>
        <w:t xml:space="preserve"> </w:t>
      </w:r>
      <w:r>
        <w:rPr>
          <w:rFonts w:ascii="Segoe UI" w:hAnsi="Segoe UI" w:cs="Segoe UI"/>
          <w:color w:val="000000"/>
          <w:sz w:val="21"/>
          <w:szCs w:val="21"/>
        </w:rPr>
        <w:t>en sus casas y la destrucción de los trabajadores ocultos para que muchos</w:t>
      </w:r>
      <w:r w:rsidR="00A97C47">
        <w:rPr>
          <w:rFonts w:ascii="Segoe UI" w:hAnsi="Segoe UI" w:cs="Segoe UI"/>
          <w:color w:val="000000"/>
          <w:sz w:val="21"/>
          <w:szCs w:val="21"/>
        </w:rPr>
        <w:t xml:space="preserve"> </w:t>
      </w:r>
      <w:r>
        <w:rPr>
          <w:rFonts w:ascii="Segoe UI" w:hAnsi="Segoe UI" w:cs="Segoe UI"/>
          <w:color w:val="000000"/>
          <w:sz w:val="21"/>
          <w:szCs w:val="21"/>
        </w:rPr>
        <w:t>puedan seguir encerrados</w:t>
      </w:r>
      <w:r w:rsidR="007346DF">
        <w:rPr>
          <w:rFonts w:ascii="Segoe UI" w:hAnsi="Segoe UI" w:cs="Segoe UI"/>
          <w:color w:val="000000"/>
          <w:sz w:val="21"/>
          <w:szCs w:val="21"/>
        </w:rPr>
        <w:t xml:space="preserve"> (Florian et al, 2020).</w:t>
      </w:r>
    </w:p>
    <w:p w14:paraId="75898456" w14:textId="37A6BC06" w:rsidR="000059B2" w:rsidRDefault="000059B2" w:rsidP="007346DF">
      <w:pPr>
        <w:autoSpaceDE w:val="0"/>
        <w:autoSpaceDN w:val="0"/>
        <w:adjustRightInd w:val="0"/>
        <w:spacing w:after="0" w:line="240" w:lineRule="auto"/>
        <w:jc w:val="both"/>
        <w:rPr>
          <w:rFonts w:ascii="Segoe UI" w:hAnsi="Segoe UI" w:cs="Segoe UI"/>
          <w:color w:val="000000"/>
          <w:sz w:val="21"/>
          <w:szCs w:val="21"/>
        </w:rPr>
      </w:pPr>
    </w:p>
    <w:p w14:paraId="1287F17F" w14:textId="04485B46" w:rsidR="000059B2" w:rsidRDefault="000059B2" w:rsidP="007346DF">
      <w:pPr>
        <w:autoSpaceDE w:val="0"/>
        <w:autoSpaceDN w:val="0"/>
        <w:adjustRightInd w:val="0"/>
        <w:spacing w:after="0" w:line="240" w:lineRule="auto"/>
        <w:jc w:val="both"/>
        <w:rPr>
          <w:rFonts w:ascii="Segoe UI" w:hAnsi="Segoe UI" w:cs="Segoe UI"/>
          <w:color w:val="000000"/>
          <w:sz w:val="21"/>
          <w:szCs w:val="21"/>
        </w:rPr>
      </w:pPr>
    </w:p>
    <w:p w14:paraId="20846360" w14:textId="77777777" w:rsidR="007179FD" w:rsidRDefault="000059B2" w:rsidP="007179FD">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El comunitarismo es visto como una filosofía política que busca enfocarse en lo moral y axiológico y las instituciones básicas que unen la sociedad. En este contexto, Andrade (2008) considera que la solidaridad debe estar por encima de lo presupuestado en un contrato social para no rechazar al pobre. Por lo tanto, volver a un Estado paternalista no solamente implica una entrega de los derechos para que las instituciones los salvaguarden sino también la solidaridad de los coasociados</w:t>
      </w:r>
      <w:r w:rsidR="007179FD">
        <w:rPr>
          <w:rFonts w:ascii="Segoe UI" w:hAnsi="Segoe UI" w:cs="Segoe UI"/>
          <w:color w:val="000000"/>
          <w:sz w:val="21"/>
          <w:szCs w:val="21"/>
        </w:rPr>
        <w:t xml:space="preserve"> (Florian et al, 2020).</w:t>
      </w:r>
    </w:p>
    <w:p w14:paraId="31A8C164" w14:textId="4E315213" w:rsidR="000059B2" w:rsidRDefault="000059B2" w:rsidP="000059B2">
      <w:pPr>
        <w:autoSpaceDE w:val="0"/>
        <w:autoSpaceDN w:val="0"/>
        <w:adjustRightInd w:val="0"/>
        <w:spacing w:after="0" w:line="240" w:lineRule="auto"/>
        <w:jc w:val="both"/>
        <w:rPr>
          <w:rFonts w:ascii="Segoe UI" w:hAnsi="Segoe UI" w:cs="Segoe UI"/>
          <w:sz w:val="21"/>
          <w:szCs w:val="21"/>
        </w:rPr>
      </w:pPr>
    </w:p>
    <w:p w14:paraId="614C8A8B" w14:textId="67399561" w:rsidR="00DF77EB" w:rsidRDefault="00DF77EB" w:rsidP="006A0C83">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Es necesario afirmar que el virus COVID-19 afecta en su mayoría a las personas adultas mayores, el resultado de las medidas adoptadas por los países que han minimizado el virus para enfocarse en la producción se verán a finales de 2020, de seguro la disconformidad seguirá en la población mayor adulta sobreviviente, a este fenómeno Arribas et al (2004) lo denominó «canibalismo social» descrito como aquel que nace cuando una sociedad sacrifica personas para el crecimiento y el desarrollo de otros. la actual situación de la sociedad </w:t>
      </w:r>
      <w:r>
        <w:rPr>
          <w:rFonts w:ascii="Segoe UI" w:hAnsi="Segoe UI" w:cs="Segoe UI"/>
          <w:color w:val="000000"/>
          <w:sz w:val="21"/>
          <w:szCs w:val="21"/>
        </w:rPr>
        <w:lastRenderedPageBreak/>
        <w:t xml:space="preserve">depende no exclusivamente de un Estado vigilante que planea y dirige demográficamente desde arriba a través de estadísticas, sino desde la comprensión de la asociación entre muchos actores o como lo denominará en su teoría (2005) seres actantes de los cuales algunos no tienen formas humanas. En este sentido el Estado moderno debe dar un paso de su posición del padre que enseña a sus ciudadanos al Estado que aprende y mantiene las condiciones de habitabilidad de los actantes Latour, B. (2020). </w:t>
      </w:r>
    </w:p>
    <w:p w14:paraId="27248F2B" w14:textId="409531CC" w:rsidR="00444271" w:rsidRDefault="00444271" w:rsidP="006A0C83">
      <w:pPr>
        <w:autoSpaceDE w:val="0"/>
        <w:autoSpaceDN w:val="0"/>
        <w:adjustRightInd w:val="0"/>
        <w:spacing w:after="0" w:line="240" w:lineRule="auto"/>
        <w:jc w:val="both"/>
        <w:rPr>
          <w:rFonts w:ascii="Segoe UI" w:hAnsi="Segoe UI" w:cs="Segoe UI"/>
          <w:color w:val="000000"/>
          <w:sz w:val="21"/>
          <w:szCs w:val="21"/>
        </w:rPr>
      </w:pPr>
    </w:p>
    <w:p w14:paraId="55ADCE00" w14:textId="77777777" w:rsidR="00444271" w:rsidRDefault="00444271" w:rsidP="00444271">
      <w:pPr>
        <w:jc w:val="both"/>
      </w:pPr>
      <w:r>
        <w:t>Las estimaciones del número de personas con mayor riesgo fueron las más sensible a la prevalencia de enfermedad renal crónica, diabetes, enfermedad cardiovascular y enfermedad respiratoria crónica. Interpretación Aproximadamente uno de cada cinco individuos en todo el mundo podría tener un mayor riesgo de COVID-19 grave, en caso de que infectarse, debido a condiciones de salud subyacentes, pero este riesgo varía considerablemente según la edad (Clark et al., 2020).</w:t>
      </w:r>
    </w:p>
    <w:p w14:paraId="36A43C65" w14:textId="77777777" w:rsidR="00444271" w:rsidRPr="00444271" w:rsidRDefault="00444271" w:rsidP="006A0C83">
      <w:pPr>
        <w:autoSpaceDE w:val="0"/>
        <w:autoSpaceDN w:val="0"/>
        <w:adjustRightInd w:val="0"/>
        <w:spacing w:after="0" w:line="240" w:lineRule="auto"/>
        <w:jc w:val="both"/>
        <w:rPr>
          <w:rFonts w:ascii="Segoe UI" w:hAnsi="Segoe UI" w:cs="Segoe UI"/>
          <w:sz w:val="21"/>
          <w:szCs w:val="21"/>
        </w:rPr>
      </w:pPr>
    </w:p>
    <w:p w14:paraId="552674F3" w14:textId="77777777" w:rsidR="00DF77EB" w:rsidRPr="00444271" w:rsidRDefault="00DF77EB" w:rsidP="006A0C83">
      <w:pPr>
        <w:autoSpaceDE w:val="0"/>
        <w:autoSpaceDN w:val="0"/>
        <w:adjustRightInd w:val="0"/>
        <w:spacing w:after="0" w:line="240" w:lineRule="auto"/>
        <w:jc w:val="both"/>
        <w:rPr>
          <w:rFonts w:ascii="Segoe UI" w:hAnsi="Segoe UI" w:cs="Segoe UI"/>
          <w:sz w:val="21"/>
          <w:szCs w:val="21"/>
        </w:rPr>
      </w:pPr>
    </w:p>
    <w:p w14:paraId="4FA15F3D" w14:textId="3EF757D6" w:rsidR="0084239F" w:rsidRPr="00A97C47" w:rsidRDefault="0084239F" w:rsidP="0084239F">
      <w:pPr>
        <w:jc w:val="both"/>
        <w:rPr>
          <w:b/>
          <w:bCs/>
        </w:rPr>
      </w:pPr>
      <w:r w:rsidRPr="00A97C47">
        <w:rPr>
          <w:b/>
          <w:bCs/>
        </w:rPr>
        <w:t>Referencias</w:t>
      </w:r>
    </w:p>
    <w:p w14:paraId="1288C548" w14:textId="77777777" w:rsidR="00AE348F" w:rsidRPr="0084239F" w:rsidRDefault="00AE348F" w:rsidP="00AE348F">
      <w:pPr>
        <w:autoSpaceDE w:val="0"/>
        <w:autoSpaceDN w:val="0"/>
        <w:adjustRightInd w:val="0"/>
        <w:spacing w:after="0" w:line="240" w:lineRule="auto"/>
        <w:jc w:val="both"/>
        <w:rPr>
          <w:rFonts w:ascii="Segoe UI" w:hAnsi="Segoe UI" w:cs="Segoe UI"/>
          <w:color w:val="000000"/>
          <w:sz w:val="21"/>
          <w:szCs w:val="21"/>
          <w:lang w:val="en-US"/>
        </w:rPr>
      </w:pPr>
      <w:r>
        <w:rPr>
          <w:rFonts w:ascii="Segoe UI" w:hAnsi="Segoe UI" w:cs="Segoe UI"/>
          <w:color w:val="000000"/>
          <w:sz w:val="21"/>
          <w:szCs w:val="21"/>
        </w:rPr>
        <w:t xml:space="preserve">Guan, W. J., Ni, Z. Y., Hu, Y., Liang, W. H., Ou, C. Q., He, J. X., ... </w:t>
      </w:r>
      <w:r w:rsidRPr="0084239F">
        <w:rPr>
          <w:rFonts w:ascii="Segoe UI" w:hAnsi="Segoe UI" w:cs="Segoe UI"/>
          <w:color w:val="000000"/>
          <w:sz w:val="21"/>
          <w:szCs w:val="21"/>
          <w:lang w:val="en-US"/>
        </w:rPr>
        <w:t>&amp; Du, B. (2020). Clinical characteristics of coronavirus disease 2019 in China. New England journal of medicine, 382(18), 1708-1720.</w:t>
      </w:r>
    </w:p>
    <w:p w14:paraId="28C7C2CC" w14:textId="77777777" w:rsidR="00AE348F" w:rsidRPr="0084239F" w:rsidRDefault="00AE348F" w:rsidP="0084239F">
      <w:pPr>
        <w:jc w:val="both"/>
        <w:rPr>
          <w:b/>
          <w:bCs/>
          <w:lang w:val="en-US"/>
        </w:rPr>
      </w:pPr>
    </w:p>
    <w:p w14:paraId="780BFEB5" w14:textId="418F4DC7" w:rsidR="0084239F" w:rsidRDefault="0084239F" w:rsidP="0084239F">
      <w:pPr>
        <w:jc w:val="both"/>
      </w:pPr>
      <w:r w:rsidRPr="0084239F">
        <w:rPr>
          <w:lang w:val="en-US"/>
        </w:rPr>
        <w:t xml:space="preserve">Clark, A., Jit, M., Warren-Gash, C., Guthrie, B., Wang, H. H., Mercer, S. W., ... &amp; Checchi, F. (2020). Global, regional, and national estimates of the population at increased risk of severe COVID-19 due to underlying health conditions in 2020: a modelling study. </w:t>
      </w:r>
      <w:r w:rsidRPr="0084239F">
        <w:t>The Lancet Global Health.</w:t>
      </w:r>
    </w:p>
    <w:p w14:paraId="09DDFF5A" w14:textId="21A17BF4" w:rsidR="00F779A4" w:rsidRDefault="00F779A4" w:rsidP="00F779A4">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Intramed. 2020. </w:t>
      </w:r>
      <w:r w:rsidRPr="00AE348F">
        <w:rPr>
          <w:rFonts w:ascii="Segoe UI" w:hAnsi="Segoe UI" w:cs="Segoe UI"/>
          <w:color w:val="000000"/>
          <w:sz w:val="21"/>
          <w:szCs w:val="21"/>
        </w:rPr>
        <w:t>Reporte de la OMS</w:t>
      </w:r>
      <w:r>
        <w:rPr>
          <w:rFonts w:ascii="Segoe UI" w:hAnsi="Segoe UI" w:cs="Segoe UI"/>
          <w:color w:val="000000"/>
          <w:sz w:val="21"/>
          <w:szCs w:val="21"/>
        </w:rPr>
        <w:t xml:space="preserve">. </w:t>
      </w:r>
      <w:r w:rsidRPr="00AE348F">
        <w:rPr>
          <w:rFonts w:ascii="Segoe UI" w:hAnsi="Segoe UI" w:cs="Segoe UI"/>
          <w:color w:val="000000"/>
          <w:sz w:val="21"/>
          <w:szCs w:val="21"/>
        </w:rPr>
        <w:t>Covid 19 en Colombia</w:t>
      </w:r>
      <w:r>
        <w:rPr>
          <w:rFonts w:ascii="Segoe UI" w:hAnsi="Segoe UI" w:cs="Segoe UI"/>
          <w:color w:val="000000"/>
          <w:sz w:val="21"/>
          <w:szCs w:val="21"/>
        </w:rPr>
        <w:t xml:space="preserve">. </w:t>
      </w:r>
      <w:r w:rsidRPr="00AE348F">
        <w:rPr>
          <w:rFonts w:ascii="Segoe UI" w:hAnsi="Segoe UI" w:cs="Segoe UI"/>
          <w:color w:val="000000"/>
          <w:sz w:val="21"/>
          <w:szCs w:val="21"/>
        </w:rPr>
        <w:t>Reporte de Situación No 77 - 9 de junio de 2020 - Colombia. A</w:t>
      </w:r>
      <w:r>
        <w:rPr>
          <w:rFonts w:ascii="Segoe UI" w:hAnsi="Segoe UI" w:cs="Segoe UI"/>
          <w:color w:val="000000"/>
          <w:sz w:val="21"/>
          <w:szCs w:val="21"/>
        </w:rPr>
        <w:t xml:space="preserve">. Disponible en: </w:t>
      </w:r>
      <w:hyperlink r:id="rId4" w:history="1">
        <w:r w:rsidR="001A48CF" w:rsidRPr="0022400D">
          <w:rPr>
            <w:rStyle w:val="Hipervnculo"/>
            <w:rFonts w:ascii="Segoe UI" w:hAnsi="Segoe UI" w:cs="Segoe UI"/>
            <w:sz w:val="21"/>
            <w:szCs w:val="21"/>
          </w:rPr>
          <w:t>https://www.intramed.net/contenidover.asp?contenidoid=96250</w:t>
        </w:r>
      </w:hyperlink>
    </w:p>
    <w:p w14:paraId="1F09E0C1" w14:textId="7AA68D7F" w:rsidR="001A48CF" w:rsidRDefault="001A48CF" w:rsidP="00F779A4">
      <w:pPr>
        <w:autoSpaceDE w:val="0"/>
        <w:autoSpaceDN w:val="0"/>
        <w:adjustRightInd w:val="0"/>
        <w:spacing w:after="0" w:line="240" w:lineRule="auto"/>
        <w:jc w:val="both"/>
        <w:rPr>
          <w:rFonts w:ascii="Segoe UI" w:hAnsi="Segoe UI" w:cs="Segoe UI"/>
          <w:color w:val="000000"/>
          <w:sz w:val="21"/>
          <w:szCs w:val="21"/>
        </w:rPr>
      </w:pPr>
    </w:p>
    <w:p w14:paraId="628F32F3" w14:textId="787A15ED" w:rsidR="001A48CF" w:rsidRDefault="001A48CF" w:rsidP="00F779A4">
      <w:pPr>
        <w:autoSpaceDE w:val="0"/>
        <w:autoSpaceDN w:val="0"/>
        <w:adjustRightInd w:val="0"/>
        <w:spacing w:after="0" w:line="240" w:lineRule="auto"/>
        <w:jc w:val="both"/>
        <w:rPr>
          <w:rFonts w:ascii="Segoe UI" w:hAnsi="Segoe UI" w:cs="Segoe UI"/>
          <w:sz w:val="21"/>
          <w:szCs w:val="21"/>
        </w:rPr>
      </w:pPr>
      <w:r>
        <w:rPr>
          <w:rFonts w:ascii="Segoe UI" w:hAnsi="Segoe UI" w:cs="Segoe UI"/>
          <w:color w:val="000000"/>
          <w:sz w:val="21"/>
          <w:szCs w:val="21"/>
        </w:rPr>
        <w:t xml:space="preserve">INS. 2020. </w:t>
      </w:r>
      <w:r w:rsidR="00B74333" w:rsidRPr="00B74333">
        <w:rPr>
          <w:rFonts w:ascii="Segoe UI" w:hAnsi="Segoe UI" w:cs="Segoe UI"/>
          <w:color w:val="000000"/>
          <w:sz w:val="21"/>
          <w:szCs w:val="21"/>
        </w:rPr>
        <w:t>COVID-19 Colombia | Reporte 25-06-2020 10:30pm</w:t>
      </w:r>
      <w:r w:rsidR="00B74333">
        <w:rPr>
          <w:rFonts w:ascii="Segoe UI" w:hAnsi="Segoe UI" w:cs="Segoe UI"/>
          <w:color w:val="000000"/>
          <w:sz w:val="21"/>
          <w:szCs w:val="21"/>
        </w:rPr>
        <w:t xml:space="preserve">. Disponible en: </w:t>
      </w:r>
      <w:hyperlink r:id="rId5" w:history="1">
        <w:r w:rsidR="00B74333">
          <w:rPr>
            <w:rStyle w:val="Hipervnculo"/>
          </w:rPr>
          <w:t>https://www.ins.gov.co/Noticias/Paginas/Coronavirus.aspx</w:t>
        </w:r>
      </w:hyperlink>
      <w:r w:rsidR="00B74333">
        <w:t xml:space="preserve"> </w:t>
      </w:r>
    </w:p>
    <w:p w14:paraId="31A7B52B" w14:textId="6D0D1FAD" w:rsidR="00F779A4" w:rsidRDefault="00F779A4" w:rsidP="0084239F">
      <w:pPr>
        <w:jc w:val="both"/>
      </w:pPr>
    </w:p>
    <w:p w14:paraId="2AF0E9C1" w14:textId="77777777" w:rsidR="00F40D2E" w:rsidRDefault="00F40D2E" w:rsidP="00F40D2E">
      <w:pPr>
        <w:autoSpaceDE w:val="0"/>
        <w:autoSpaceDN w:val="0"/>
        <w:adjustRightInd w:val="0"/>
        <w:spacing w:after="0" w:line="240" w:lineRule="auto"/>
        <w:rPr>
          <w:rFonts w:ascii="Segoe UI" w:hAnsi="Segoe UI" w:cs="Segoe UI"/>
          <w:sz w:val="21"/>
          <w:szCs w:val="21"/>
        </w:rPr>
      </w:pPr>
      <w:r>
        <w:rPr>
          <w:rFonts w:ascii="Segoe UI" w:hAnsi="Segoe UI" w:cs="Segoe UI"/>
          <w:color w:val="000000"/>
          <w:sz w:val="21"/>
          <w:szCs w:val="21"/>
        </w:rPr>
        <w:t>Bindi, E. (2016). Test de proporcionalidad en el «age of balancing». Revista de Derecho Político, 96, 291-330.</w:t>
      </w:r>
    </w:p>
    <w:p w14:paraId="774454FF" w14:textId="050DED6D" w:rsidR="00F40D2E" w:rsidRDefault="00F40D2E" w:rsidP="00F40D2E">
      <w:pPr>
        <w:jc w:val="both"/>
        <w:rPr>
          <w:rFonts w:ascii="Segoe UI" w:hAnsi="Segoe UI" w:cs="Segoe UI"/>
          <w:color w:val="000000"/>
          <w:sz w:val="21"/>
          <w:szCs w:val="21"/>
        </w:rPr>
      </w:pPr>
    </w:p>
    <w:p w14:paraId="57BA3A7C" w14:textId="78485CEF" w:rsidR="002D21CF" w:rsidRDefault="002D21CF" w:rsidP="002D21CF">
      <w:pPr>
        <w:autoSpaceDE w:val="0"/>
        <w:autoSpaceDN w:val="0"/>
        <w:adjustRightInd w:val="0"/>
        <w:spacing w:after="0" w:line="240" w:lineRule="auto"/>
        <w:jc w:val="both"/>
        <w:rPr>
          <w:rFonts w:ascii="Segoe UI" w:hAnsi="Segoe UI" w:cs="Segoe UI"/>
          <w:sz w:val="21"/>
          <w:szCs w:val="21"/>
        </w:rPr>
      </w:pPr>
      <w:r>
        <w:rPr>
          <w:rFonts w:ascii="Segoe UI" w:hAnsi="Segoe UI" w:cs="Segoe UI"/>
          <w:color w:val="000000"/>
          <w:sz w:val="21"/>
          <w:szCs w:val="21"/>
        </w:rPr>
        <w:t>Cepal. Huenchuan, S. (2020). Covid-19 recomendaciones generales para la atención a personas mayores desde una perspectiva de derechos humanos. Cepal. COVID-19: recomendaciones generales para la atención a personas mayores desde una perspectiva de derechos humanos</w:t>
      </w:r>
      <w:r w:rsidR="00C915D1">
        <w:rPr>
          <w:rFonts w:ascii="Segoe UI" w:hAnsi="Segoe UI" w:cs="Segoe UI"/>
          <w:color w:val="000000"/>
          <w:sz w:val="21"/>
          <w:szCs w:val="21"/>
        </w:rPr>
        <w:t xml:space="preserve">. Disponible en: </w:t>
      </w:r>
      <w:hyperlink r:id="rId6" w:history="1">
        <w:r w:rsidR="00C915D1">
          <w:rPr>
            <w:rStyle w:val="Hipervnculo"/>
          </w:rPr>
          <w:t>http://104.207.147.154:8080/bitstream/54000/1122/1/covid-rev11.pdf</w:t>
        </w:r>
      </w:hyperlink>
      <w:r w:rsidR="00C915D1">
        <w:t xml:space="preserve"> </w:t>
      </w:r>
    </w:p>
    <w:p w14:paraId="1E629845" w14:textId="1633C311" w:rsidR="002D21CF" w:rsidRDefault="002D21CF" w:rsidP="002D21CF"/>
    <w:p w14:paraId="5ACF1F7E" w14:textId="0C6C0D04" w:rsidR="00FE17DC" w:rsidRDefault="00FE17DC" w:rsidP="002D21CF">
      <w:r>
        <w:t>OMS (Organización Mundial de la Salud) (2020), “Coronavirus disease 2019 (COVID-19)”</w:t>
      </w:r>
      <w:r w:rsidR="00E624EB">
        <w:t xml:space="preserve">. Disponible en: </w:t>
      </w:r>
      <w:hyperlink r:id="rId7" w:history="1">
        <w:r w:rsidR="00E624EB">
          <w:rPr>
            <w:rStyle w:val="Hipervnculo"/>
          </w:rPr>
          <w:t>https://www.who.int/docs/default-source/coronaviruse/situation-reports/20200317-sitrep-57-covid-19.pdf?sfvrsn=a26922f2_4</w:t>
        </w:r>
      </w:hyperlink>
      <w:r w:rsidR="00E624EB">
        <w:t xml:space="preserve"> </w:t>
      </w:r>
    </w:p>
    <w:p w14:paraId="025A27EC" w14:textId="31DC9878" w:rsidR="002D21CF" w:rsidRDefault="00526848" w:rsidP="00F40D2E">
      <w:pPr>
        <w:jc w:val="both"/>
        <w:rPr>
          <w:lang w:val="en-US"/>
        </w:rPr>
      </w:pPr>
      <w:r w:rsidRPr="00526848">
        <w:rPr>
          <w:lang w:val="en-US"/>
        </w:rPr>
        <w:t xml:space="preserve">Latour, B. (2020). Is This a Dress </w:t>
      </w:r>
      <w:proofErr w:type="gramStart"/>
      <w:r w:rsidRPr="00526848">
        <w:rPr>
          <w:lang w:val="en-US"/>
        </w:rPr>
        <w:t>Rehearsal?.</w:t>
      </w:r>
      <w:proofErr w:type="gramEnd"/>
      <w:r w:rsidRPr="00526848">
        <w:rPr>
          <w:lang w:val="en-US"/>
        </w:rPr>
        <w:t xml:space="preserve"> In the moment en: </w:t>
      </w:r>
      <w:hyperlink r:id="rId8" w:history="1">
        <w:r w:rsidR="002164C5" w:rsidRPr="0022400D">
          <w:rPr>
            <w:rStyle w:val="Hipervnculo"/>
            <w:lang w:val="en-US"/>
          </w:rPr>
          <w:t>https://critinq.wordpress.com/2020/03/26/is-this-a-dress-rehearsal/</w:t>
        </w:r>
      </w:hyperlink>
    </w:p>
    <w:p w14:paraId="1B9B854F" w14:textId="50409116" w:rsidR="002164C5" w:rsidRDefault="002164C5" w:rsidP="002164C5">
      <w:pPr>
        <w:autoSpaceDE w:val="0"/>
        <w:autoSpaceDN w:val="0"/>
        <w:adjustRightInd w:val="0"/>
        <w:spacing w:after="0" w:line="240" w:lineRule="auto"/>
        <w:jc w:val="both"/>
        <w:rPr>
          <w:rFonts w:ascii="Segoe UI" w:hAnsi="Segoe UI" w:cs="Segoe UI"/>
          <w:sz w:val="21"/>
          <w:szCs w:val="21"/>
        </w:rPr>
      </w:pPr>
      <w:r>
        <w:rPr>
          <w:rFonts w:ascii="Segoe UI" w:hAnsi="Segoe UI" w:cs="Segoe UI"/>
          <w:color w:val="000000"/>
          <w:sz w:val="21"/>
          <w:szCs w:val="21"/>
        </w:rPr>
        <w:lastRenderedPageBreak/>
        <w:t>Florián, S. T., Rodríguez, C. A. L., &amp; Vargas-Chaves, I.</w:t>
      </w:r>
      <w:r w:rsidR="007346DF">
        <w:rPr>
          <w:rFonts w:ascii="Segoe UI" w:hAnsi="Segoe UI" w:cs="Segoe UI"/>
          <w:color w:val="000000"/>
          <w:sz w:val="21"/>
          <w:szCs w:val="21"/>
        </w:rPr>
        <w:t xml:space="preserve"> 2020</w:t>
      </w:r>
      <w:r>
        <w:rPr>
          <w:rFonts w:ascii="Segoe UI" w:hAnsi="Segoe UI" w:cs="Segoe UI"/>
          <w:color w:val="000000"/>
          <w:sz w:val="21"/>
          <w:szCs w:val="21"/>
        </w:rPr>
        <w:t xml:space="preserve"> EL DERECHO ANTE EL CORONAVIRUS COVID-19. Una visión a partir de la biojurídica</w:t>
      </w:r>
    </w:p>
    <w:p w14:paraId="61DEAC63" w14:textId="77777777" w:rsidR="00A97C47" w:rsidRDefault="00A97C47" w:rsidP="00CF7FD1">
      <w:pPr>
        <w:autoSpaceDE w:val="0"/>
        <w:autoSpaceDN w:val="0"/>
        <w:adjustRightInd w:val="0"/>
        <w:spacing w:after="0" w:line="240" w:lineRule="auto"/>
        <w:jc w:val="both"/>
        <w:rPr>
          <w:rFonts w:ascii="Segoe UI" w:hAnsi="Segoe UI" w:cs="Segoe UI"/>
          <w:color w:val="000000"/>
          <w:sz w:val="21"/>
          <w:szCs w:val="21"/>
        </w:rPr>
      </w:pPr>
    </w:p>
    <w:p w14:paraId="781D4009" w14:textId="74D31BCE" w:rsidR="00CF7FD1" w:rsidRDefault="00CF7FD1" w:rsidP="00CF7FD1">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 xml:space="preserve">OACNUDH (Oficina del Alto Comisionado de las Naciones Unidas para los Derechos Humanos) (2020), </w:t>
      </w:r>
      <w:r w:rsidRPr="00CF7FD1">
        <w:rPr>
          <w:rFonts w:ascii="Segoe UI" w:hAnsi="Segoe UI" w:cs="Segoe UI"/>
          <w:color w:val="000000"/>
          <w:sz w:val="21"/>
          <w:szCs w:val="21"/>
        </w:rPr>
        <w:t xml:space="preserve">“An immediate human rights response to counter the COVID-19 and the global recession ahead is an urgent priority”, says UN Expert, Noticias de la ONU, 20 de marzo </w:t>
      </w:r>
    </w:p>
    <w:p w14:paraId="0C718623" w14:textId="77777777" w:rsidR="005A6724" w:rsidRDefault="005A6724" w:rsidP="00CF7FD1">
      <w:pPr>
        <w:autoSpaceDE w:val="0"/>
        <w:autoSpaceDN w:val="0"/>
        <w:adjustRightInd w:val="0"/>
        <w:spacing w:after="0" w:line="240" w:lineRule="auto"/>
        <w:jc w:val="both"/>
        <w:rPr>
          <w:rFonts w:ascii="Segoe UI" w:hAnsi="Segoe UI" w:cs="Segoe UI"/>
          <w:color w:val="000000"/>
          <w:sz w:val="21"/>
          <w:szCs w:val="21"/>
        </w:rPr>
      </w:pPr>
    </w:p>
    <w:p w14:paraId="4AAE1F54" w14:textId="3F7AC26F" w:rsidR="005A6724" w:rsidRDefault="005A6724" w:rsidP="005A6724">
      <w:pPr>
        <w:autoSpaceDE w:val="0"/>
        <w:autoSpaceDN w:val="0"/>
        <w:adjustRightInd w:val="0"/>
        <w:spacing w:after="0" w:line="240" w:lineRule="auto"/>
        <w:jc w:val="both"/>
        <w:rPr>
          <w:rFonts w:ascii="Segoe UI" w:hAnsi="Segoe UI" w:cs="Segoe UI"/>
          <w:color w:val="000000"/>
          <w:sz w:val="21"/>
          <w:szCs w:val="21"/>
        </w:rPr>
      </w:pPr>
      <w:r>
        <w:rPr>
          <w:rFonts w:ascii="Segoe UI" w:hAnsi="Segoe UI" w:cs="Segoe UI"/>
          <w:color w:val="000000"/>
          <w:sz w:val="21"/>
          <w:szCs w:val="21"/>
        </w:rPr>
        <w:t>Martínez Soria, J., Torres Ramírez, C., &amp; Orozco Rivera, E. D. (2020). Características, medidas de política pública y riesgos de la pandemia del Covid-19.</w:t>
      </w:r>
    </w:p>
    <w:p w14:paraId="6381FD5B" w14:textId="0CE16E85" w:rsidR="007179FD" w:rsidRDefault="007179FD" w:rsidP="005A6724">
      <w:pPr>
        <w:autoSpaceDE w:val="0"/>
        <w:autoSpaceDN w:val="0"/>
        <w:adjustRightInd w:val="0"/>
        <w:spacing w:after="0" w:line="240" w:lineRule="auto"/>
        <w:jc w:val="both"/>
        <w:rPr>
          <w:rFonts w:ascii="Segoe UI" w:hAnsi="Segoe UI" w:cs="Segoe UI"/>
          <w:color w:val="000000"/>
          <w:sz w:val="21"/>
          <w:szCs w:val="21"/>
        </w:rPr>
      </w:pPr>
    </w:p>
    <w:p w14:paraId="3F598B5B" w14:textId="5477055C" w:rsidR="007179FD" w:rsidRDefault="007179FD" w:rsidP="005A6724">
      <w:pPr>
        <w:autoSpaceDE w:val="0"/>
        <w:autoSpaceDN w:val="0"/>
        <w:adjustRightInd w:val="0"/>
        <w:spacing w:after="0" w:line="240" w:lineRule="auto"/>
        <w:jc w:val="both"/>
        <w:rPr>
          <w:rFonts w:ascii="Segoe UI" w:hAnsi="Segoe UI" w:cs="Segoe UI"/>
          <w:sz w:val="21"/>
          <w:szCs w:val="21"/>
        </w:rPr>
      </w:pPr>
      <w:r>
        <w:t>Andrade, M. (2008). ¿Qué es la “aporofobia”? Un análisis conceptual sobre prejuicios, estereotipos y discriminación hacia los pobres. Agenda Social, 2(3), 117-139.</w:t>
      </w:r>
    </w:p>
    <w:p w14:paraId="51692B47" w14:textId="77777777" w:rsidR="005A6724" w:rsidRPr="00CF7FD1" w:rsidRDefault="005A6724" w:rsidP="00CF7FD1">
      <w:pPr>
        <w:autoSpaceDE w:val="0"/>
        <w:autoSpaceDN w:val="0"/>
        <w:adjustRightInd w:val="0"/>
        <w:spacing w:after="0" w:line="240" w:lineRule="auto"/>
        <w:jc w:val="both"/>
        <w:rPr>
          <w:rFonts w:ascii="Segoe UI" w:hAnsi="Segoe UI" w:cs="Segoe UI"/>
          <w:sz w:val="21"/>
          <w:szCs w:val="21"/>
        </w:rPr>
      </w:pPr>
    </w:p>
    <w:p w14:paraId="10506AC8" w14:textId="77777777" w:rsidR="00CF7FD1" w:rsidRDefault="00CF7FD1" w:rsidP="002164C5">
      <w:pPr>
        <w:jc w:val="both"/>
      </w:pPr>
    </w:p>
    <w:p w14:paraId="7278B3ED" w14:textId="77777777" w:rsidR="002164C5" w:rsidRPr="00CF7FD1" w:rsidRDefault="002164C5" w:rsidP="00F40D2E">
      <w:pPr>
        <w:jc w:val="both"/>
        <w:rPr>
          <w:rFonts w:ascii="Segoe UI" w:hAnsi="Segoe UI" w:cs="Segoe UI"/>
          <w:color w:val="000000"/>
          <w:sz w:val="21"/>
          <w:szCs w:val="21"/>
        </w:rPr>
      </w:pPr>
    </w:p>
    <w:p w14:paraId="2B85112E" w14:textId="77777777" w:rsidR="00F40D2E" w:rsidRPr="00CF7FD1" w:rsidRDefault="00F40D2E" w:rsidP="0084239F">
      <w:pPr>
        <w:jc w:val="both"/>
      </w:pPr>
    </w:p>
    <w:sectPr w:rsidR="00F40D2E" w:rsidRPr="00CF7FD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E4F"/>
    <w:rsid w:val="000059B2"/>
    <w:rsid w:val="0008736C"/>
    <w:rsid w:val="000C4FAF"/>
    <w:rsid w:val="000D518D"/>
    <w:rsid w:val="00111165"/>
    <w:rsid w:val="00175EC9"/>
    <w:rsid w:val="001A48CF"/>
    <w:rsid w:val="001D01A7"/>
    <w:rsid w:val="00212D27"/>
    <w:rsid w:val="002164C5"/>
    <w:rsid w:val="00285E4F"/>
    <w:rsid w:val="002D21CF"/>
    <w:rsid w:val="003159B6"/>
    <w:rsid w:val="0034080A"/>
    <w:rsid w:val="00444271"/>
    <w:rsid w:val="004F1D50"/>
    <w:rsid w:val="00526848"/>
    <w:rsid w:val="005A6724"/>
    <w:rsid w:val="005B48B9"/>
    <w:rsid w:val="005F2893"/>
    <w:rsid w:val="0060318A"/>
    <w:rsid w:val="006A0C83"/>
    <w:rsid w:val="006E4D87"/>
    <w:rsid w:val="007179FD"/>
    <w:rsid w:val="00727E81"/>
    <w:rsid w:val="007346DF"/>
    <w:rsid w:val="00750A9F"/>
    <w:rsid w:val="007D21D0"/>
    <w:rsid w:val="008113B9"/>
    <w:rsid w:val="00827EA2"/>
    <w:rsid w:val="00830849"/>
    <w:rsid w:val="0084239F"/>
    <w:rsid w:val="008E34EB"/>
    <w:rsid w:val="00994431"/>
    <w:rsid w:val="009A0AC8"/>
    <w:rsid w:val="009E6CEE"/>
    <w:rsid w:val="009F22CE"/>
    <w:rsid w:val="00A54FF2"/>
    <w:rsid w:val="00A97C47"/>
    <w:rsid w:val="00AE348F"/>
    <w:rsid w:val="00B44944"/>
    <w:rsid w:val="00B74333"/>
    <w:rsid w:val="00BC3388"/>
    <w:rsid w:val="00C3205A"/>
    <w:rsid w:val="00C569F5"/>
    <w:rsid w:val="00C915D1"/>
    <w:rsid w:val="00CF7FD1"/>
    <w:rsid w:val="00D777B7"/>
    <w:rsid w:val="00D816E7"/>
    <w:rsid w:val="00DB3BD1"/>
    <w:rsid w:val="00DD4FCC"/>
    <w:rsid w:val="00DE20D1"/>
    <w:rsid w:val="00DF77EB"/>
    <w:rsid w:val="00E3592F"/>
    <w:rsid w:val="00E538BF"/>
    <w:rsid w:val="00E624EB"/>
    <w:rsid w:val="00F40D2E"/>
    <w:rsid w:val="00F779A4"/>
    <w:rsid w:val="00F86BF6"/>
    <w:rsid w:val="00FC7C1B"/>
    <w:rsid w:val="00FE17DC"/>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C2E9"/>
  <w15:chartTrackingRefBased/>
  <w15:docId w15:val="{BAC67D90-5F97-4326-B141-4C5D2480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85E4F"/>
    <w:rPr>
      <w:color w:val="0000FF"/>
      <w:u w:val="single"/>
    </w:rPr>
  </w:style>
  <w:style w:type="character" w:customStyle="1" w:styleId="Mencinsinresolver1">
    <w:name w:val="Mención sin resolver1"/>
    <w:basedOn w:val="Fuentedeprrafopredeter"/>
    <w:uiPriority w:val="99"/>
    <w:semiHidden/>
    <w:unhideWhenUsed/>
    <w:rsid w:val="001A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194084">
      <w:bodyDiv w:val="1"/>
      <w:marLeft w:val="0"/>
      <w:marRight w:val="0"/>
      <w:marTop w:val="0"/>
      <w:marBottom w:val="0"/>
      <w:divBdr>
        <w:top w:val="none" w:sz="0" w:space="0" w:color="auto"/>
        <w:left w:val="none" w:sz="0" w:space="0" w:color="auto"/>
        <w:bottom w:val="none" w:sz="0" w:space="0" w:color="auto"/>
        <w:right w:val="none" w:sz="0" w:space="0" w:color="auto"/>
      </w:divBdr>
    </w:div>
    <w:div w:id="2121760162">
      <w:bodyDiv w:val="1"/>
      <w:marLeft w:val="0"/>
      <w:marRight w:val="0"/>
      <w:marTop w:val="0"/>
      <w:marBottom w:val="0"/>
      <w:divBdr>
        <w:top w:val="none" w:sz="0" w:space="0" w:color="auto"/>
        <w:left w:val="none" w:sz="0" w:space="0" w:color="auto"/>
        <w:bottom w:val="none" w:sz="0" w:space="0" w:color="auto"/>
        <w:right w:val="none" w:sz="0" w:space="0" w:color="auto"/>
      </w:divBdr>
      <w:divsChild>
        <w:div w:id="1174877694">
          <w:marLeft w:val="0"/>
          <w:marRight w:val="0"/>
          <w:marTop w:val="0"/>
          <w:marBottom w:val="0"/>
          <w:divBdr>
            <w:top w:val="none" w:sz="0" w:space="0" w:color="auto"/>
            <w:left w:val="none" w:sz="0" w:space="0" w:color="auto"/>
            <w:bottom w:val="none" w:sz="0" w:space="0" w:color="auto"/>
            <w:right w:val="none" w:sz="0" w:space="0" w:color="auto"/>
          </w:divBdr>
          <w:divsChild>
            <w:div w:id="729228354">
              <w:marLeft w:val="0"/>
              <w:marRight w:val="0"/>
              <w:marTop w:val="0"/>
              <w:marBottom w:val="0"/>
              <w:divBdr>
                <w:top w:val="none" w:sz="0" w:space="0" w:color="auto"/>
                <w:left w:val="none" w:sz="0" w:space="0" w:color="auto"/>
                <w:bottom w:val="none" w:sz="0" w:space="0" w:color="auto"/>
                <w:right w:val="none" w:sz="0" w:space="0" w:color="auto"/>
              </w:divBdr>
            </w:div>
            <w:div w:id="54860650">
              <w:marLeft w:val="0"/>
              <w:marRight w:val="0"/>
              <w:marTop w:val="0"/>
              <w:marBottom w:val="0"/>
              <w:divBdr>
                <w:top w:val="none" w:sz="0" w:space="0" w:color="auto"/>
                <w:left w:val="none" w:sz="0" w:space="0" w:color="auto"/>
                <w:bottom w:val="none" w:sz="0" w:space="0" w:color="auto"/>
                <w:right w:val="none" w:sz="0" w:space="0" w:color="auto"/>
              </w:divBdr>
            </w:div>
          </w:divsChild>
        </w:div>
        <w:div w:id="1139760520">
          <w:marLeft w:val="0"/>
          <w:marRight w:val="0"/>
          <w:marTop w:val="0"/>
          <w:marBottom w:val="0"/>
          <w:divBdr>
            <w:top w:val="none" w:sz="0" w:space="0" w:color="auto"/>
            <w:left w:val="none" w:sz="0" w:space="0" w:color="auto"/>
            <w:bottom w:val="none" w:sz="0" w:space="0" w:color="auto"/>
            <w:right w:val="none" w:sz="0" w:space="0" w:color="auto"/>
          </w:divBdr>
          <w:divsChild>
            <w:div w:id="1968049351">
              <w:marLeft w:val="0"/>
              <w:marRight w:val="0"/>
              <w:marTop w:val="0"/>
              <w:marBottom w:val="0"/>
              <w:divBdr>
                <w:top w:val="none" w:sz="0" w:space="0" w:color="auto"/>
                <w:left w:val="none" w:sz="0" w:space="0" w:color="auto"/>
                <w:bottom w:val="none" w:sz="0" w:space="0" w:color="auto"/>
                <w:right w:val="none" w:sz="0" w:space="0" w:color="auto"/>
              </w:divBdr>
            </w:div>
            <w:div w:id="1006975806">
              <w:marLeft w:val="0"/>
              <w:marRight w:val="0"/>
              <w:marTop w:val="0"/>
              <w:marBottom w:val="0"/>
              <w:divBdr>
                <w:top w:val="none" w:sz="0" w:space="0" w:color="auto"/>
                <w:left w:val="none" w:sz="0" w:space="0" w:color="auto"/>
                <w:bottom w:val="none" w:sz="0" w:space="0" w:color="auto"/>
                <w:right w:val="none" w:sz="0" w:space="0" w:color="auto"/>
              </w:divBdr>
            </w:div>
          </w:divsChild>
        </w:div>
        <w:div w:id="918250478">
          <w:marLeft w:val="0"/>
          <w:marRight w:val="0"/>
          <w:marTop w:val="0"/>
          <w:marBottom w:val="0"/>
          <w:divBdr>
            <w:top w:val="none" w:sz="0" w:space="0" w:color="auto"/>
            <w:left w:val="none" w:sz="0" w:space="0" w:color="auto"/>
            <w:bottom w:val="none" w:sz="0" w:space="0" w:color="auto"/>
            <w:right w:val="none" w:sz="0" w:space="0" w:color="auto"/>
          </w:divBdr>
          <w:divsChild>
            <w:div w:id="1424960827">
              <w:marLeft w:val="0"/>
              <w:marRight w:val="0"/>
              <w:marTop w:val="0"/>
              <w:marBottom w:val="0"/>
              <w:divBdr>
                <w:top w:val="none" w:sz="0" w:space="0" w:color="auto"/>
                <w:left w:val="none" w:sz="0" w:space="0" w:color="auto"/>
                <w:bottom w:val="none" w:sz="0" w:space="0" w:color="auto"/>
                <w:right w:val="none" w:sz="0" w:space="0" w:color="auto"/>
              </w:divBdr>
            </w:div>
          </w:divsChild>
        </w:div>
        <w:div w:id="451287698">
          <w:marLeft w:val="0"/>
          <w:marRight w:val="0"/>
          <w:marTop w:val="0"/>
          <w:marBottom w:val="0"/>
          <w:divBdr>
            <w:top w:val="none" w:sz="0" w:space="0" w:color="auto"/>
            <w:left w:val="none" w:sz="0" w:space="0" w:color="auto"/>
            <w:bottom w:val="none" w:sz="0" w:space="0" w:color="auto"/>
            <w:right w:val="none" w:sz="0" w:space="0" w:color="auto"/>
          </w:divBdr>
          <w:divsChild>
            <w:div w:id="959722690">
              <w:marLeft w:val="0"/>
              <w:marRight w:val="0"/>
              <w:marTop w:val="0"/>
              <w:marBottom w:val="0"/>
              <w:divBdr>
                <w:top w:val="none" w:sz="0" w:space="0" w:color="auto"/>
                <w:left w:val="none" w:sz="0" w:space="0" w:color="auto"/>
                <w:bottom w:val="none" w:sz="0" w:space="0" w:color="auto"/>
                <w:right w:val="none" w:sz="0" w:space="0" w:color="auto"/>
              </w:divBdr>
            </w:div>
            <w:div w:id="210001921">
              <w:marLeft w:val="0"/>
              <w:marRight w:val="0"/>
              <w:marTop w:val="0"/>
              <w:marBottom w:val="0"/>
              <w:divBdr>
                <w:top w:val="none" w:sz="0" w:space="0" w:color="auto"/>
                <w:left w:val="none" w:sz="0" w:space="0" w:color="auto"/>
                <w:bottom w:val="none" w:sz="0" w:space="0" w:color="auto"/>
                <w:right w:val="none" w:sz="0" w:space="0" w:color="auto"/>
              </w:divBdr>
            </w:div>
          </w:divsChild>
        </w:div>
        <w:div w:id="1942377211">
          <w:marLeft w:val="0"/>
          <w:marRight w:val="0"/>
          <w:marTop w:val="0"/>
          <w:marBottom w:val="0"/>
          <w:divBdr>
            <w:top w:val="none" w:sz="0" w:space="0" w:color="auto"/>
            <w:left w:val="none" w:sz="0" w:space="0" w:color="auto"/>
            <w:bottom w:val="none" w:sz="0" w:space="0" w:color="auto"/>
            <w:right w:val="none" w:sz="0" w:space="0" w:color="auto"/>
          </w:divBdr>
          <w:divsChild>
            <w:div w:id="1579755135">
              <w:marLeft w:val="0"/>
              <w:marRight w:val="0"/>
              <w:marTop w:val="0"/>
              <w:marBottom w:val="0"/>
              <w:divBdr>
                <w:top w:val="none" w:sz="0" w:space="0" w:color="auto"/>
                <w:left w:val="none" w:sz="0" w:space="0" w:color="auto"/>
                <w:bottom w:val="none" w:sz="0" w:space="0" w:color="auto"/>
                <w:right w:val="none" w:sz="0" w:space="0" w:color="auto"/>
              </w:divBdr>
            </w:div>
          </w:divsChild>
        </w:div>
        <w:div w:id="1573854346">
          <w:marLeft w:val="0"/>
          <w:marRight w:val="0"/>
          <w:marTop w:val="0"/>
          <w:marBottom w:val="0"/>
          <w:divBdr>
            <w:top w:val="none" w:sz="0" w:space="0" w:color="auto"/>
            <w:left w:val="none" w:sz="0" w:space="0" w:color="auto"/>
            <w:bottom w:val="none" w:sz="0" w:space="0" w:color="auto"/>
            <w:right w:val="none" w:sz="0" w:space="0" w:color="auto"/>
          </w:divBdr>
          <w:divsChild>
            <w:div w:id="294608628">
              <w:marLeft w:val="0"/>
              <w:marRight w:val="0"/>
              <w:marTop w:val="0"/>
              <w:marBottom w:val="0"/>
              <w:divBdr>
                <w:top w:val="none" w:sz="0" w:space="0" w:color="auto"/>
                <w:left w:val="none" w:sz="0" w:space="0" w:color="auto"/>
                <w:bottom w:val="none" w:sz="0" w:space="0" w:color="auto"/>
                <w:right w:val="none" w:sz="0" w:space="0" w:color="auto"/>
              </w:divBdr>
            </w:div>
            <w:div w:id="1814986086">
              <w:marLeft w:val="0"/>
              <w:marRight w:val="0"/>
              <w:marTop w:val="0"/>
              <w:marBottom w:val="0"/>
              <w:divBdr>
                <w:top w:val="none" w:sz="0" w:space="0" w:color="auto"/>
                <w:left w:val="none" w:sz="0" w:space="0" w:color="auto"/>
                <w:bottom w:val="none" w:sz="0" w:space="0" w:color="auto"/>
                <w:right w:val="none" w:sz="0" w:space="0" w:color="auto"/>
              </w:divBdr>
            </w:div>
          </w:divsChild>
        </w:div>
        <w:div w:id="186724846">
          <w:marLeft w:val="0"/>
          <w:marRight w:val="0"/>
          <w:marTop w:val="0"/>
          <w:marBottom w:val="0"/>
          <w:divBdr>
            <w:top w:val="none" w:sz="0" w:space="0" w:color="auto"/>
            <w:left w:val="none" w:sz="0" w:space="0" w:color="auto"/>
            <w:bottom w:val="none" w:sz="0" w:space="0" w:color="auto"/>
            <w:right w:val="none" w:sz="0" w:space="0" w:color="auto"/>
          </w:divBdr>
          <w:divsChild>
            <w:div w:id="161181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itinq.wordpress.com/2020/03/26/is-this-a-dress-rehearsal/" TargetMode="External"/><Relationship Id="rId3" Type="http://schemas.openxmlformats.org/officeDocument/2006/relationships/webSettings" Target="webSettings.xml"/><Relationship Id="rId7" Type="http://schemas.openxmlformats.org/officeDocument/2006/relationships/hyperlink" Target="https://www.who.int/docs/default-source/coronaviruse/situation-reports/20200317-sitrep-57-covid-19.pdf?sfvrsn=a26922f2_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4.207.147.154:8080/bitstream/54000/1122/1/covid-rev11.pdf" TargetMode="External"/><Relationship Id="rId5" Type="http://schemas.openxmlformats.org/officeDocument/2006/relationships/hyperlink" Target="https://www.ins.gov.co/Noticias/Paginas/Coronavirus.aspx" TargetMode="External"/><Relationship Id="rId10" Type="http://schemas.openxmlformats.org/officeDocument/2006/relationships/theme" Target="theme/theme1.xml"/><Relationship Id="rId4" Type="http://schemas.openxmlformats.org/officeDocument/2006/relationships/hyperlink" Target="https://www.intramed.net/contenidover.asp?contenidoid=96250"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1745</Words>
  <Characters>9599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BENAVIDES ARIAS DIANA MERCEDES</dc:creator>
  <cp:keywords/>
  <dc:description/>
  <cp:lastModifiedBy>Edith Alarcon Bernal</cp:lastModifiedBy>
  <cp:revision>3</cp:revision>
  <dcterms:created xsi:type="dcterms:W3CDTF">2020-06-27T16:42:00Z</dcterms:created>
  <dcterms:modified xsi:type="dcterms:W3CDTF">2020-06-29T21:26:00Z</dcterms:modified>
</cp:coreProperties>
</file>